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vzr2hi7m4tp6" w:id="0"/>
      <w:bookmarkEnd w:id="0"/>
      <w:r w:rsidDel="00000000" w:rsidR="00000000" w:rsidRPr="00000000">
        <w:rPr>
          <w:rtl w:val="0"/>
        </w:rPr>
        <w:t xml:space="preserve">Count to ten</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listening, warm-up</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5 minutes</w:t>
      </w:r>
    </w:p>
    <w:p w:rsidR="00000000" w:rsidDel="00000000" w:rsidP="00000000" w:rsidRDefault="00000000" w:rsidRPr="00000000" w14:paraId="00000005">
      <w:pPr>
        <w:pStyle w:val="Heading2"/>
        <w:rPr>
          <w:b w:val="1"/>
        </w:rPr>
      </w:pPr>
      <w:bookmarkStart w:colFirst="0" w:colLast="0" w:name="_rmkz68cbq1ar"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This exercise trains a group mindset, listening skills, attentiveness and focus. </w:t>
      </w:r>
    </w:p>
    <w:p w:rsidR="00000000" w:rsidDel="00000000" w:rsidP="00000000" w:rsidRDefault="00000000" w:rsidRPr="00000000" w14:paraId="00000007">
      <w:pPr>
        <w:pStyle w:val="Heading2"/>
        <w:rPr/>
      </w:pPr>
      <w:bookmarkStart w:colFirst="0" w:colLast="0" w:name="_qxl26zlue8o1"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No materials are needed for this exercise. Have your students stand up. This game is easier if the students stand together in a circle and more difficult if they are standing by their desks.</w:t>
      </w:r>
    </w:p>
    <w:p w:rsidR="00000000" w:rsidDel="00000000" w:rsidP="00000000" w:rsidRDefault="00000000" w:rsidRPr="00000000" w14:paraId="00000009">
      <w:pPr>
        <w:pStyle w:val="Heading2"/>
        <w:rPr/>
      </w:pPr>
      <w:bookmarkStart w:colFirst="0" w:colLast="0" w:name="_5h13mhal5nyx"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group has to work together to count to ten. Only one person is allowed to speak at a time. If more people speak at the same time, the game restarts. Numbers must be said with confidence and no talking or other communication is allowed. If one person seems to be doing most of the counting add the rule that they are only allowed one number per 10 numbers. </w:t>
      </w:r>
    </w:p>
    <w:p w:rsidR="00000000" w:rsidDel="00000000" w:rsidP="00000000" w:rsidRDefault="00000000" w:rsidRPr="00000000" w14:paraId="0000000B">
      <w:pPr>
        <w:pStyle w:val="Heading2"/>
        <w:rPr>
          <w:b w:val="1"/>
        </w:rPr>
      </w:pPr>
      <w:bookmarkStart w:colFirst="0" w:colLast="0" w:name="_d7uwd5jh3zea" w:id="4"/>
      <w:bookmarkEnd w:id="4"/>
      <w:r w:rsidDel="00000000" w:rsidR="00000000" w:rsidRPr="00000000">
        <w:rPr>
          <w:b w:val="1"/>
          <w:rtl w:val="0"/>
        </w:rPr>
        <w:t xml:space="preserve">Alternative methods:</w:t>
      </w:r>
    </w:p>
    <w:p w:rsidR="00000000" w:rsidDel="00000000" w:rsidP="00000000" w:rsidRDefault="00000000" w:rsidRPr="00000000" w14:paraId="0000000C">
      <w:pPr>
        <w:rPr/>
      </w:pPr>
      <w:r w:rsidDel="00000000" w:rsidR="00000000" w:rsidRPr="00000000">
        <w:rPr>
          <w:rtl w:val="0"/>
        </w:rPr>
        <w:t xml:space="preserve">You can also count to higher numbers if your students have successfully mind-melded and counted to ten too fast.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F">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w:t>
      </w:r>
      <w:r w:rsidDel="00000000" w:rsidR="00000000" w:rsidRPr="00000000">
        <w:rPr>
          <w:rtl w:val="0"/>
        </w:rPr>
        <w:t xml:space="preserve"> </w:t>
      </w:r>
      <w:r w:rsidDel="00000000" w:rsidR="00000000" w:rsidRPr="00000000">
        <w:rPr>
          <w:i w:val="1"/>
          <w:rtl w:val="0"/>
        </w:rPr>
        <w:t xml:space="preserve">Group counting</w:t>
      </w:r>
      <w:r w:rsidDel="00000000" w:rsidR="00000000" w:rsidRPr="00000000">
        <w:rPr>
          <w:rtl w:val="0"/>
        </w:rPr>
        <w:t xml:space="preserve">. Group Counting | Drama-Based Instruction. (n.d.). https://dbp.theatredance.utexas.edu/content/group-counting</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